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113" w:rsidRDefault="00336113" w:rsidP="00727EEE">
      <w:pPr>
        <w:pStyle w:val="CM1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noProof/>
          <w:color w:val="000000"/>
          <w:sz w:val="28"/>
          <w:szCs w:val="28"/>
        </w:rPr>
        <w:drawing>
          <wp:inline distT="0" distB="0" distL="0" distR="0">
            <wp:extent cx="6400800" cy="3657600"/>
            <wp:effectExtent l="0" t="0" r="0" b="0"/>
            <wp:docPr id="1" name="Pictur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3657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6113" w:rsidRDefault="00336113" w:rsidP="00727EEE">
      <w:pPr>
        <w:pStyle w:val="CM1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BA7A4E" w:rsidRPr="00727EEE" w:rsidRDefault="00BA7A4E" w:rsidP="00727EEE">
      <w:pPr>
        <w:pStyle w:val="CM1"/>
        <w:jc w:val="center"/>
        <w:rPr>
          <w:rFonts w:ascii="Times New Roman" w:hAnsi="Times New Roman"/>
          <w:color w:val="000000"/>
          <w:sz w:val="28"/>
          <w:szCs w:val="28"/>
        </w:rPr>
      </w:pPr>
      <w:r w:rsidRPr="00727EEE">
        <w:rPr>
          <w:rFonts w:ascii="Times New Roman" w:hAnsi="Times New Roman"/>
          <w:b/>
          <w:bCs/>
          <w:color w:val="000000"/>
          <w:sz w:val="28"/>
          <w:szCs w:val="28"/>
        </w:rPr>
        <w:t>Barriers to reciprocal university</w:t>
      </w:r>
      <w:r w:rsidRPr="00727EEE">
        <w:rPr>
          <w:b/>
          <w:bCs/>
          <w:color w:val="000000"/>
          <w:sz w:val="28"/>
          <w:szCs w:val="28"/>
        </w:rPr>
        <w:t>‐</w:t>
      </w:r>
      <w:r w:rsidRPr="00727EEE">
        <w:rPr>
          <w:rFonts w:ascii="Times New Roman" w:hAnsi="Times New Roman"/>
          <w:b/>
          <w:bCs/>
          <w:color w:val="000000"/>
          <w:sz w:val="28"/>
          <w:szCs w:val="28"/>
        </w:rPr>
        <w:t>community partnerships for service</w:t>
      </w:r>
      <w:r w:rsidRPr="00727EEE">
        <w:rPr>
          <w:b/>
          <w:bCs/>
          <w:color w:val="000000"/>
          <w:sz w:val="28"/>
          <w:szCs w:val="28"/>
        </w:rPr>
        <w:t>‐</w:t>
      </w:r>
      <w:r w:rsidRPr="00727EEE">
        <w:rPr>
          <w:rFonts w:ascii="Times New Roman" w:hAnsi="Times New Roman"/>
          <w:b/>
          <w:bCs/>
          <w:color w:val="000000"/>
          <w:sz w:val="28"/>
          <w:szCs w:val="28"/>
        </w:rPr>
        <w:t xml:space="preserve">learning: Insights from an Egyptian context </w:t>
      </w:r>
    </w:p>
    <w:p w:rsidR="00BA7A4E" w:rsidRPr="00727EEE" w:rsidRDefault="00BA7A4E" w:rsidP="00727EEE">
      <w:pPr>
        <w:rPr>
          <w:sz w:val="24"/>
          <w:szCs w:val="24"/>
        </w:rPr>
      </w:pPr>
    </w:p>
    <w:p w:rsidR="00BA7A4E" w:rsidRPr="00727EEE" w:rsidRDefault="00BA7A4E" w:rsidP="00727EEE">
      <w:pPr>
        <w:pStyle w:val="CM5"/>
        <w:rPr>
          <w:rFonts w:ascii="Times New Roman" w:hAnsi="Times New Roman"/>
          <w:color w:val="000000"/>
        </w:rPr>
      </w:pPr>
      <w:proofErr w:type="spellStart"/>
      <w:r w:rsidRPr="00727EEE">
        <w:rPr>
          <w:rFonts w:ascii="Times New Roman" w:hAnsi="Times New Roman"/>
          <w:color w:val="000000"/>
        </w:rPr>
        <w:t>Neivin</w:t>
      </w:r>
      <w:proofErr w:type="spellEnd"/>
      <w:r w:rsidRPr="00727EEE">
        <w:rPr>
          <w:rFonts w:ascii="Times New Roman" w:hAnsi="Times New Roman"/>
          <w:color w:val="000000"/>
        </w:rPr>
        <w:t xml:space="preserve"> </w:t>
      </w:r>
      <w:proofErr w:type="spellStart"/>
      <w:r w:rsidRPr="00727EEE">
        <w:rPr>
          <w:rFonts w:ascii="Times New Roman" w:hAnsi="Times New Roman"/>
          <w:color w:val="000000"/>
        </w:rPr>
        <w:t>Shalabi</w:t>
      </w:r>
      <w:proofErr w:type="spellEnd"/>
      <w:r w:rsidRPr="00727EEE">
        <w:rPr>
          <w:rFonts w:ascii="Times New Roman" w:hAnsi="Times New Roman"/>
          <w:color w:val="000000"/>
        </w:rPr>
        <w:t>, PhD candidate, University of Denver [neivinshalabi@gmail.com]</w:t>
      </w:r>
    </w:p>
    <w:p w:rsidR="00BA7A4E" w:rsidRPr="00727EEE" w:rsidRDefault="00BA7A4E" w:rsidP="00727EEE">
      <w:pPr>
        <w:rPr>
          <w:sz w:val="24"/>
          <w:szCs w:val="24"/>
        </w:rPr>
      </w:pPr>
    </w:p>
    <w:p w:rsidR="00BA7A4E" w:rsidRPr="00727EEE" w:rsidRDefault="00BA7A4E" w:rsidP="00727EEE">
      <w:pPr>
        <w:rPr>
          <w:sz w:val="24"/>
          <w:szCs w:val="24"/>
        </w:rPr>
      </w:pPr>
      <w:r w:rsidRPr="00727EEE">
        <w:rPr>
          <w:b/>
          <w:sz w:val="24"/>
          <w:szCs w:val="24"/>
        </w:rPr>
        <w:t>Keywords:</w:t>
      </w:r>
      <w:r w:rsidRPr="00727EEE">
        <w:rPr>
          <w:sz w:val="24"/>
          <w:szCs w:val="24"/>
        </w:rPr>
        <w:t xml:space="preserve"> </w:t>
      </w:r>
      <w:r w:rsidR="000B2A17">
        <w:rPr>
          <w:sz w:val="24"/>
          <w:szCs w:val="24"/>
        </w:rPr>
        <w:t xml:space="preserve"> </w:t>
      </w:r>
      <w:r w:rsidR="000B2A17">
        <w:rPr>
          <w:color w:val="000000"/>
          <w:sz w:val="24"/>
          <w:szCs w:val="24"/>
        </w:rPr>
        <w:t>T</w:t>
      </w:r>
      <w:r w:rsidR="000B2A17" w:rsidRPr="000B2A17">
        <w:rPr>
          <w:color w:val="000000"/>
          <w:sz w:val="24"/>
          <w:szCs w:val="24"/>
        </w:rPr>
        <w:t>ransactional</w:t>
      </w:r>
      <w:r w:rsidR="007C0C87">
        <w:rPr>
          <w:color w:val="000000"/>
          <w:sz w:val="24"/>
          <w:szCs w:val="24"/>
        </w:rPr>
        <w:t xml:space="preserve"> </w:t>
      </w:r>
      <w:r w:rsidR="000B2A17" w:rsidRPr="000B2A17">
        <w:rPr>
          <w:color w:val="000000"/>
          <w:sz w:val="24"/>
          <w:szCs w:val="24"/>
        </w:rPr>
        <w:t>partnerships</w:t>
      </w:r>
      <w:r w:rsidR="000B2A17">
        <w:rPr>
          <w:sz w:val="24"/>
          <w:szCs w:val="24"/>
        </w:rPr>
        <w:t xml:space="preserve">, </w:t>
      </w:r>
      <w:r w:rsidR="007C0C87">
        <w:rPr>
          <w:sz w:val="24"/>
          <w:szCs w:val="24"/>
        </w:rPr>
        <w:t xml:space="preserve">transformational partnerships, </w:t>
      </w:r>
      <w:r w:rsidR="000B2A17">
        <w:rPr>
          <w:sz w:val="24"/>
          <w:szCs w:val="24"/>
        </w:rPr>
        <w:t>Egypt, reciprocity</w:t>
      </w:r>
    </w:p>
    <w:p w:rsidR="00BA7A4E" w:rsidRPr="00727EEE" w:rsidRDefault="00BA7A4E" w:rsidP="00727EEE">
      <w:pPr>
        <w:rPr>
          <w:sz w:val="24"/>
          <w:szCs w:val="24"/>
        </w:rPr>
      </w:pPr>
    </w:p>
    <w:p w:rsidR="00BA7A4E" w:rsidRPr="00727EEE" w:rsidRDefault="00BA7A4E" w:rsidP="00727EEE">
      <w:pPr>
        <w:rPr>
          <w:bCs/>
          <w:color w:val="000000"/>
          <w:sz w:val="24"/>
          <w:szCs w:val="24"/>
        </w:rPr>
      </w:pPr>
      <w:r w:rsidRPr="00727EEE">
        <w:rPr>
          <w:b/>
          <w:sz w:val="24"/>
          <w:szCs w:val="24"/>
        </w:rPr>
        <w:t>Conference track:</w:t>
      </w:r>
      <w:r w:rsidRPr="00727EEE">
        <w:rPr>
          <w:sz w:val="24"/>
          <w:szCs w:val="24"/>
        </w:rPr>
        <w:t xml:space="preserve"> Global community engagement and comparative studies</w:t>
      </w:r>
      <w:r w:rsidRPr="00727EEE">
        <w:rPr>
          <w:bCs/>
          <w:color w:val="000000"/>
          <w:sz w:val="24"/>
          <w:szCs w:val="24"/>
        </w:rPr>
        <w:t xml:space="preserve"> </w:t>
      </w:r>
    </w:p>
    <w:p w:rsidR="00BA7A4E" w:rsidRPr="00727EEE" w:rsidRDefault="00BA7A4E" w:rsidP="00727EEE">
      <w:pPr>
        <w:rPr>
          <w:sz w:val="24"/>
          <w:szCs w:val="24"/>
        </w:rPr>
      </w:pPr>
    </w:p>
    <w:p w:rsidR="00BA7A4E" w:rsidRPr="00727EEE" w:rsidRDefault="00BA7A4E" w:rsidP="00727EEE">
      <w:pPr>
        <w:rPr>
          <w:sz w:val="24"/>
          <w:szCs w:val="24"/>
        </w:rPr>
      </w:pPr>
      <w:r w:rsidRPr="00727EEE">
        <w:rPr>
          <w:b/>
          <w:sz w:val="24"/>
          <w:szCs w:val="24"/>
        </w:rPr>
        <w:t xml:space="preserve">Format: </w:t>
      </w:r>
      <w:r w:rsidRPr="00727EEE">
        <w:rPr>
          <w:sz w:val="24"/>
          <w:szCs w:val="24"/>
        </w:rPr>
        <w:t>Research</w:t>
      </w:r>
      <w:r w:rsidR="007A4D22">
        <w:rPr>
          <w:sz w:val="24"/>
          <w:szCs w:val="24"/>
        </w:rPr>
        <w:t>/scholarly</w:t>
      </w:r>
      <w:bookmarkStart w:id="0" w:name="_GoBack"/>
      <w:bookmarkEnd w:id="0"/>
      <w:r w:rsidRPr="00727EEE">
        <w:rPr>
          <w:sz w:val="24"/>
          <w:szCs w:val="24"/>
        </w:rPr>
        <w:t xml:space="preserve"> paper</w:t>
      </w:r>
    </w:p>
    <w:p w:rsidR="00BA7A4E" w:rsidRPr="00727EEE" w:rsidRDefault="00BA7A4E" w:rsidP="00727EEE">
      <w:pPr>
        <w:rPr>
          <w:sz w:val="24"/>
          <w:szCs w:val="24"/>
        </w:rPr>
      </w:pPr>
    </w:p>
    <w:p w:rsidR="00727EEE" w:rsidRPr="000B2A17" w:rsidRDefault="00BA7A4E" w:rsidP="00727EEE">
      <w:pPr>
        <w:rPr>
          <w:b/>
          <w:sz w:val="24"/>
          <w:szCs w:val="24"/>
        </w:rPr>
      </w:pPr>
      <w:r w:rsidRPr="000B2A17">
        <w:rPr>
          <w:b/>
          <w:sz w:val="24"/>
          <w:szCs w:val="24"/>
        </w:rPr>
        <w:t>Summary</w:t>
      </w:r>
    </w:p>
    <w:p w:rsidR="00510019" w:rsidRPr="000B2A17" w:rsidRDefault="00510019" w:rsidP="00727EEE">
      <w:pPr>
        <w:rPr>
          <w:sz w:val="24"/>
          <w:szCs w:val="24"/>
        </w:rPr>
      </w:pPr>
      <w:r w:rsidRPr="000B2A17">
        <w:rPr>
          <w:color w:val="000000"/>
          <w:sz w:val="24"/>
          <w:szCs w:val="24"/>
        </w:rPr>
        <w:t xml:space="preserve">This paper addresses reciprocity between the academy and the community </w:t>
      </w:r>
      <w:r w:rsidR="007C0C87">
        <w:rPr>
          <w:color w:val="000000"/>
          <w:sz w:val="24"/>
          <w:szCs w:val="24"/>
        </w:rPr>
        <w:t>in</w:t>
      </w:r>
      <w:r w:rsidRPr="000B2A17">
        <w:rPr>
          <w:color w:val="000000"/>
          <w:sz w:val="24"/>
          <w:szCs w:val="24"/>
        </w:rPr>
        <w:t xml:space="preserve"> service</w:t>
      </w:r>
      <w:r w:rsidRPr="000B2A17">
        <w:rPr>
          <w:rFonts w:ascii="Cambria Math" w:hAnsi="Cambria Math"/>
          <w:color w:val="000000"/>
          <w:sz w:val="24"/>
          <w:szCs w:val="24"/>
        </w:rPr>
        <w:t>‐</w:t>
      </w:r>
      <w:r w:rsidRPr="000B2A17">
        <w:rPr>
          <w:color w:val="000000"/>
          <w:sz w:val="24"/>
          <w:szCs w:val="24"/>
        </w:rPr>
        <w:t xml:space="preserve">learning partnerships. Utilizing </w:t>
      </w:r>
      <w:proofErr w:type="spellStart"/>
      <w:r w:rsidRPr="000B2A17">
        <w:rPr>
          <w:color w:val="000000"/>
          <w:sz w:val="24"/>
          <w:szCs w:val="24"/>
        </w:rPr>
        <w:t>Enos</w:t>
      </w:r>
      <w:proofErr w:type="spellEnd"/>
      <w:r w:rsidRPr="000B2A17">
        <w:rPr>
          <w:color w:val="000000"/>
          <w:sz w:val="24"/>
          <w:szCs w:val="24"/>
        </w:rPr>
        <w:t xml:space="preserve"> and Morton’s (2003) theory</w:t>
      </w:r>
      <w:r w:rsidR="000B2A17" w:rsidRPr="000B2A17">
        <w:rPr>
          <w:color w:val="000000"/>
          <w:sz w:val="24"/>
          <w:szCs w:val="24"/>
        </w:rPr>
        <w:t xml:space="preserve"> for transactional</w:t>
      </w:r>
      <w:r w:rsidR="000B2A17">
        <w:rPr>
          <w:color w:val="000000"/>
          <w:sz w:val="24"/>
          <w:szCs w:val="24"/>
        </w:rPr>
        <w:t>-</w:t>
      </w:r>
      <w:r w:rsidR="000B2A17" w:rsidRPr="000B2A17">
        <w:rPr>
          <w:color w:val="000000"/>
          <w:sz w:val="24"/>
          <w:szCs w:val="24"/>
        </w:rPr>
        <w:t>transformative university</w:t>
      </w:r>
      <w:r w:rsidR="000B2A17">
        <w:rPr>
          <w:color w:val="000000"/>
          <w:sz w:val="24"/>
          <w:szCs w:val="24"/>
        </w:rPr>
        <w:t>-</w:t>
      </w:r>
      <w:r w:rsidR="000B2A17" w:rsidRPr="000B2A17">
        <w:rPr>
          <w:color w:val="000000"/>
          <w:sz w:val="24"/>
          <w:szCs w:val="24"/>
        </w:rPr>
        <w:t>community partnerships</w:t>
      </w:r>
      <w:r w:rsidR="00494229">
        <w:rPr>
          <w:color w:val="000000"/>
          <w:sz w:val="24"/>
          <w:szCs w:val="24"/>
        </w:rPr>
        <w:t xml:space="preserve">, this session reports </w:t>
      </w:r>
      <w:r w:rsidR="007C0C87">
        <w:rPr>
          <w:color w:val="000000"/>
          <w:sz w:val="24"/>
          <w:szCs w:val="24"/>
        </w:rPr>
        <w:t xml:space="preserve">on </w:t>
      </w:r>
      <w:r w:rsidR="00494229">
        <w:rPr>
          <w:color w:val="000000"/>
          <w:sz w:val="24"/>
          <w:szCs w:val="24"/>
        </w:rPr>
        <w:t>qualitative</w:t>
      </w:r>
      <w:r w:rsidRPr="000B2A17">
        <w:rPr>
          <w:color w:val="000000"/>
          <w:sz w:val="24"/>
          <w:szCs w:val="24"/>
        </w:rPr>
        <w:t xml:space="preserve"> findings </w:t>
      </w:r>
      <w:r w:rsidR="007C0C87">
        <w:rPr>
          <w:color w:val="000000"/>
          <w:sz w:val="24"/>
          <w:szCs w:val="24"/>
        </w:rPr>
        <w:t xml:space="preserve">from research </w:t>
      </w:r>
      <w:r w:rsidRPr="000B2A17">
        <w:rPr>
          <w:color w:val="000000"/>
          <w:sz w:val="24"/>
          <w:szCs w:val="24"/>
        </w:rPr>
        <w:t>that explored the barriers to building reciprocal service</w:t>
      </w:r>
      <w:r w:rsidRPr="000B2A17">
        <w:rPr>
          <w:rFonts w:ascii="Cambria Math" w:hAnsi="Cambria Math"/>
          <w:color w:val="000000"/>
          <w:sz w:val="24"/>
          <w:szCs w:val="24"/>
        </w:rPr>
        <w:t>‐</w:t>
      </w:r>
      <w:r w:rsidRPr="000B2A17">
        <w:rPr>
          <w:color w:val="000000"/>
          <w:sz w:val="24"/>
          <w:szCs w:val="24"/>
        </w:rPr>
        <w:t>learning partnerships between a university in Egypt and NGOs.</w:t>
      </w:r>
    </w:p>
    <w:p w:rsidR="000B2A17" w:rsidRPr="000B2A17" w:rsidRDefault="000B2A17" w:rsidP="000B2A17">
      <w:pPr>
        <w:pStyle w:val="Default"/>
      </w:pPr>
    </w:p>
    <w:p w:rsidR="000B2A17" w:rsidRDefault="00510019" w:rsidP="00494229">
      <w:pPr>
        <w:pStyle w:val="CM4"/>
        <w:spacing w:line="240" w:lineRule="auto"/>
        <w:ind w:right="102"/>
        <w:rPr>
          <w:rFonts w:ascii="Times New Roman" w:hAnsi="Times New Roman"/>
          <w:color w:val="000000"/>
        </w:rPr>
      </w:pPr>
      <w:r w:rsidRPr="000B2A17">
        <w:rPr>
          <w:rFonts w:ascii="Times New Roman" w:hAnsi="Times New Roman"/>
          <w:color w:val="000000"/>
        </w:rPr>
        <w:t>Reciprocity between the university and the community has been repeatedly emphasized as a core ideal of service</w:t>
      </w:r>
      <w:r w:rsidRPr="000B2A17">
        <w:rPr>
          <w:color w:val="000000"/>
        </w:rPr>
        <w:t>‐</w:t>
      </w:r>
      <w:r w:rsidRPr="000B2A17">
        <w:rPr>
          <w:rFonts w:ascii="Times New Roman" w:hAnsi="Times New Roman"/>
          <w:color w:val="000000"/>
        </w:rPr>
        <w:t>learning partnerships in higher education (</w:t>
      </w:r>
      <w:proofErr w:type="spellStart"/>
      <w:r w:rsidRPr="000B2A17">
        <w:rPr>
          <w:rFonts w:ascii="Times New Roman" w:hAnsi="Times New Roman"/>
          <w:color w:val="000000"/>
        </w:rPr>
        <w:t>Battistoni</w:t>
      </w:r>
      <w:proofErr w:type="spellEnd"/>
      <w:r w:rsidRPr="000B2A17">
        <w:rPr>
          <w:rFonts w:ascii="Times New Roman" w:hAnsi="Times New Roman"/>
          <w:color w:val="000000"/>
        </w:rPr>
        <w:t>,</w:t>
      </w:r>
      <w:r w:rsidR="00494229">
        <w:rPr>
          <w:rFonts w:ascii="Times New Roman" w:hAnsi="Times New Roman"/>
          <w:color w:val="000000"/>
        </w:rPr>
        <w:t xml:space="preserve"> 2006</w:t>
      </w:r>
      <w:r w:rsidRPr="000B2A17">
        <w:rPr>
          <w:rFonts w:ascii="Times New Roman" w:hAnsi="Times New Roman"/>
          <w:color w:val="000000"/>
        </w:rPr>
        <w:t>).</w:t>
      </w:r>
      <w:r w:rsidR="00494229">
        <w:rPr>
          <w:rFonts w:ascii="Times New Roman" w:hAnsi="Times New Roman"/>
          <w:color w:val="000000"/>
        </w:rPr>
        <w:t xml:space="preserve"> </w:t>
      </w:r>
      <w:r w:rsidRPr="000B2A17">
        <w:rPr>
          <w:rFonts w:ascii="Times New Roman" w:hAnsi="Times New Roman"/>
          <w:color w:val="000000"/>
        </w:rPr>
        <w:t xml:space="preserve">Despite this emphasis, research </w:t>
      </w:r>
      <w:r w:rsidR="007C0C87">
        <w:rPr>
          <w:rFonts w:ascii="Times New Roman" w:hAnsi="Times New Roman"/>
          <w:color w:val="000000"/>
        </w:rPr>
        <w:t>suggests</w:t>
      </w:r>
      <w:r w:rsidRPr="000B2A17">
        <w:rPr>
          <w:rFonts w:ascii="Times New Roman" w:hAnsi="Times New Roman"/>
          <w:color w:val="000000"/>
        </w:rPr>
        <w:t xml:space="preserve"> that this ideal is seldom honored in practice (Saltmarsh, Hartley, &amp; Clayton, 2009).</w:t>
      </w:r>
      <w:r w:rsidR="000B2A17">
        <w:rPr>
          <w:rFonts w:ascii="Times New Roman" w:hAnsi="Times New Roman"/>
          <w:color w:val="000000"/>
        </w:rPr>
        <w:t xml:space="preserve"> </w:t>
      </w:r>
      <w:r w:rsidR="00494229">
        <w:rPr>
          <w:rFonts w:ascii="Times New Roman" w:hAnsi="Times New Roman"/>
          <w:color w:val="000000"/>
        </w:rPr>
        <w:t>Related to this is</w:t>
      </w:r>
      <w:r w:rsidR="000B2A17">
        <w:rPr>
          <w:rFonts w:ascii="Times New Roman" w:hAnsi="Times New Roman"/>
          <w:color w:val="000000"/>
        </w:rPr>
        <w:t xml:space="preserve"> </w:t>
      </w:r>
      <w:proofErr w:type="spellStart"/>
      <w:r w:rsidR="000B2A17">
        <w:rPr>
          <w:rFonts w:ascii="Times New Roman" w:hAnsi="Times New Roman"/>
          <w:color w:val="000000"/>
        </w:rPr>
        <w:t>Enos</w:t>
      </w:r>
      <w:proofErr w:type="spellEnd"/>
      <w:r w:rsidR="000B2A17">
        <w:rPr>
          <w:rFonts w:ascii="Times New Roman" w:hAnsi="Times New Roman"/>
          <w:color w:val="000000"/>
        </w:rPr>
        <w:t xml:space="preserve"> and Morton’s</w:t>
      </w:r>
      <w:r w:rsidR="00494229">
        <w:rPr>
          <w:rFonts w:ascii="Times New Roman" w:hAnsi="Times New Roman"/>
          <w:color w:val="000000"/>
        </w:rPr>
        <w:t xml:space="preserve"> </w:t>
      </w:r>
      <w:r w:rsidR="007C0C87">
        <w:rPr>
          <w:rFonts w:ascii="Times New Roman" w:hAnsi="Times New Roman"/>
          <w:color w:val="000000"/>
        </w:rPr>
        <w:t xml:space="preserve">(2003) </w:t>
      </w:r>
      <w:r w:rsidR="00494229">
        <w:rPr>
          <w:rFonts w:ascii="Times New Roman" w:hAnsi="Times New Roman"/>
          <w:color w:val="000000"/>
        </w:rPr>
        <w:t>theory that</w:t>
      </w:r>
      <w:r w:rsidRPr="00727EEE">
        <w:rPr>
          <w:rFonts w:ascii="Times New Roman" w:hAnsi="Times New Roman"/>
          <w:color w:val="000000"/>
        </w:rPr>
        <w:t xml:space="preserve"> transactional relationships operate within existing structures </w:t>
      </w:r>
      <w:r w:rsidR="00494229">
        <w:rPr>
          <w:rFonts w:ascii="Times New Roman" w:hAnsi="Times New Roman"/>
          <w:color w:val="000000"/>
        </w:rPr>
        <w:t xml:space="preserve">whereby </w:t>
      </w:r>
      <w:r w:rsidRPr="00727EEE">
        <w:rPr>
          <w:rFonts w:ascii="Times New Roman" w:hAnsi="Times New Roman"/>
          <w:color w:val="000000"/>
        </w:rPr>
        <w:t>partners connect together because each has something that</w:t>
      </w:r>
      <w:r w:rsidR="000B2A17">
        <w:rPr>
          <w:rFonts w:ascii="Times New Roman" w:hAnsi="Times New Roman"/>
          <w:color w:val="000000"/>
        </w:rPr>
        <w:t xml:space="preserve"> the other perceives as useful.</w:t>
      </w:r>
      <w:r w:rsidR="000B2A17" w:rsidRPr="000B2A17">
        <w:rPr>
          <w:rFonts w:ascii="Times New Roman" w:hAnsi="Times New Roman"/>
          <w:color w:val="000000"/>
        </w:rPr>
        <w:t xml:space="preserve"> </w:t>
      </w:r>
      <w:r w:rsidR="000B2A17" w:rsidRPr="00727EEE">
        <w:rPr>
          <w:rFonts w:ascii="Times New Roman" w:hAnsi="Times New Roman"/>
          <w:color w:val="000000"/>
        </w:rPr>
        <w:t>Such relationships can lead to the development of new identities for partners.</w:t>
      </w:r>
    </w:p>
    <w:p w:rsidR="000B2A17" w:rsidRDefault="000B2A17" w:rsidP="000B2A17">
      <w:pPr>
        <w:pStyle w:val="CM5"/>
        <w:rPr>
          <w:rFonts w:ascii="Times New Roman" w:hAnsi="Times New Roman"/>
          <w:color w:val="000000"/>
        </w:rPr>
      </w:pPr>
    </w:p>
    <w:p w:rsidR="00510019" w:rsidRPr="00727EEE" w:rsidRDefault="00727EEE" w:rsidP="00727EEE">
      <w:pPr>
        <w:pStyle w:val="CM5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A naturalistic approach (Lincoln &amp; </w:t>
      </w:r>
      <w:proofErr w:type="spellStart"/>
      <w:r>
        <w:rPr>
          <w:rFonts w:ascii="Times New Roman" w:hAnsi="Times New Roman"/>
          <w:color w:val="000000"/>
        </w:rPr>
        <w:t>Guba</w:t>
      </w:r>
      <w:proofErr w:type="spellEnd"/>
      <w:r>
        <w:rPr>
          <w:rFonts w:ascii="Times New Roman" w:hAnsi="Times New Roman"/>
          <w:color w:val="000000"/>
        </w:rPr>
        <w:t>, 1985) was utilized to collect data from students, faculty, staff, and community partners</w:t>
      </w:r>
      <w:r w:rsidR="000B2A17">
        <w:rPr>
          <w:rFonts w:ascii="Times New Roman" w:hAnsi="Times New Roman"/>
          <w:color w:val="000000"/>
        </w:rPr>
        <w:t xml:space="preserve"> of a private university in Egypt</w:t>
      </w:r>
      <w:r>
        <w:rPr>
          <w:rFonts w:ascii="Times New Roman" w:hAnsi="Times New Roman"/>
          <w:color w:val="000000"/>
        </w:rPr>
        <w:t>. D</w:t>
      </w:r>
      <w:r w:rsidR="00510019" w:rsidRPr="00727EEE">
        <w:rPr>
          <w:rFonts w:ascii="Times New Roman" w:hAnsi="Times New Roman"/>
          <w:color w:val="000000"/>
        </w:rPr>
        <w:t>ata analysis revealed three major barriers to building reciprocal university</w:t>
      </w:r>
      <w:r w:rsidR="00510019" w:rsidRPr="00727EEE">
        <w:rPr>
          <w:color w:val="000000"/>
        </w:rPr>
        <w:t>‐</w:t>
      </w:r>
      <w:r w:rsidR="00510019" w:rsidRPr="00727EEE">
        <w:rPr>
          <w:rFonts w:ascii="Times New Roman" w:hAnsi="Times New Roman"/>
          <w:color w:val="000000"/>
        </w:rPr>
        <w:t>community partnerships for service</w:t>
      </w:r>
      <w:r w:rsidR="00510019" w:rsidRPr="00727EEE">
        <w:rPr>
          <w:color w:val="000000"/>
        </w:rPr>
        <w:t>‐</w:t>
      </w:r>
      <w:r w:rsidR="00510019" w:rsidRPr="00727EEE">
        <w:rPr>
          <w:rFonts w:ascii="Times New Roman" w:hAnsi="Times New Roman"/>
          <w:color w:val="000000"/>
        </w:rPr>
        <w:t>learning</w:t>
      </w:r>
      <w:r w:rsidR="00494229">
        <w:rPr>
          <w:rFonts w:ascii="Times New Roman" w:hAnsi="Times New Roman"/>
          <w:color w:val="000000"/>
        </w:rPr>
        <w:t xml:space="preserve">. Egypt </w:t>
      </w:r>
      <w:r w:rsidR="007C0C87">
        <w:rPr>
          <w:rFonts w:ascii="Times New Roman" w:hAnsi="Times New Roman"/>
          <w:color w:val="000000"/>
        </w:rPr>
        <w:t>c</w:t>
      </w:r>
      <w:r w:rsidR="00494229">
        <w:rPr>
          <w:rFonts w:ascii="Times New Roman" w:hAnsi="Times New Roman"/>
          <w:color w:val="000000"/>
        </w:rPr>
        <w:t>lassism and</w:t>
      </w:r>
      <w:r w:rsidR="00510019" w:rsidRPr="00727EEE">
        <w:rPr>
          <w:rFonts w:ascii="Times New Roman" w:hAnsi="Times New Roman"/>
          <w:color w:val="000000"/>
        </w:rPr>
        <w:t xml:space="preserve"> strong social cl</w:t>
      </w:r>
      <w:r w:rsidR="00494229">
        <w:rPr>
          <w:rFonts w:ascii="Times New Roman" w:hAnsi="Times New Roman"/>
          <w:color w:val="000000"/>
        </w:rPr>
        <w:t xml:space="preserve">ass differences </w:t>
      </w:r>
      <w:r w:rsidR="00510019" w:rsidRPr="00727EEE">
        <w:rPr>
          <w:rFonts w:ascii="Times New Roman" w:hAnsi="Times New Roman"/>
          <w:color w:val="000000"/>
        </w:rPr>
        <w:t xml:space="preserve">constituted a major obstacle in building and maintaining reciprocal relationships </w:t>
      </w:r>
      <w:r w:rsidR="00510019" w:rsidRPr="00727EEE">
        <w:rPr>
          <w:rFonts w:ascii="Times New Roman" w:hAnsi="Times New Roman"/>
          <w:color w:val="000000"/>
        </w:rPr>
        <w:lastRenderedPageBreak/>
        <w:t>betw</w:t>
      </w:r>
      <w:r w:rsidR="00494229">
        <w:rPr>
          <w:rFonts w:ascii="Times New Roman" w:hAnsi="Times New Roman"/>
          <w:color w:val="000000"/>
        </w:rPr>
        <w:t>een the</w:t>
      </w:r>
      <w:r w:rsidR="00510019" w:rsidRPr="00727EEE">
        <w:rPr>
          <w:rFonts w:ascii="Times New Roman" w:hAnsi="Times New Roman"/>
          <w:color w:val="000000"/>
        </w:rPr>
        <w:t xml:space="preserve"> partners. Interestingly, the study revealed that not only do s</w:t>
      </w:r>
      <w:r w:rsidR="00494229">
        <w:rPr>
          <w:rFonts w:ascii="Times New Roman" w:hAnsi="Times New Roman"/>
          <w:color w:val="000000"/>
        </w:rPr>
        <w:t xml:space="preserve">tudents and faculty </w:t>
      </w:r>
      <w:r w:rsidR="007C0C87">
        <w:rPr>
          <w:rFonts w:ascii="Times New Roman" w:hAnsi="Times New Roman"/>
          <w:color w:val="000000"/>
        </w:rPr>
        <w:t>per</w:t>
      </w:r>
      <w:r w:rsidR="00494229">
        <w:rPr>
          <w:rFonts w:ascii="Times New Roman" w:hAnsi="Times New Roman"/>
          <w:color w:val="000000"/>
        </w:rPr>
        <w:t xml:space="preserve">ceive </w:t>
      </w:r>
      <w:r w:rsidR="007C0C87">
        <w:rPr>
          <w:rFonts w:ascii="Times New Roman" w:hAnsi="Times New Roman"/>
          <w:color w:val="000000"/>
        </w:rPr>
        <w:t xml:space="preserve">of </w:t>
      </w:r>
      <w:r w:rsidR="00510019" w:rsidRPr="00727EEE">
        <w:rPr>
          <w:rFonts w:ascii="Times New Roman" w:hAnsi="Times New Roman"/>
          <w:color w:val="000000"/>
        </w:rPr>
        <w:t>themselves as superior to the people they enc</w:t>
      </w:r>
      <w:r w:rsidR="00494229">
        <w:rPr>
          <w:rFonts w:ascii="Times New Roman" w:hAnsi="Times New Roman"/>
          <w:color w:val="000000"/>
        </w:rPr>
        <w:t>ounter at</w:t>
      </w:r>
      <w:r w:rsidR="00510019" w:rsidRPr="00727EEE">
        <w:rPr>
          <w:rFonts w:ascii="Times New Roman" w:hAnsi="Times New Roman"/>
          <w:color w:val="000000"/>
        </w:rPr>
        <w:t xml:space="preserve"> service sites, but </w:t>
      </w:r>
      <w:r w:rsidR="007C0C87">
        <w:rPr>
          <w:rFonts w:ascii="Times New Roman" w:hAnsi="Times New Roman"/>
          <w:color w:val="000000"/>
        </w:rPr>
        <w:t>that</w:t>
      </w:r>
      <w:r w:rsidR="00510019" w:rsidRPr="00727EEE">
        <w:rPr>
          <w:rFonts w:ascii="Times New Roman" w:hAnsi="Times New Roman"/>
          <w:color w:val="000000"/>
        </w:rPr>
        <w:t xml:space="preserve"> community partners</w:t>
      </w:r>
      <w:r w:rsidR="007C0C87">
        <w:rPr>
          <w:rFonts w:ascii="Times New Roman" w:hAnsi="Times New Roman"/>
          <w:color w:val="000000"/>
        </w:rPr>
        <w:t xml:space="preserve"> also</w:t>
      </w:r>
      <w:r w:rsidR="00510019" w:rsidRPr="00727EEE">
        <w:rPr>
          <w:rFonts w:ascii="Times New Roman" w:hAnsi="Times New Roman"/>
          <w:color w:val="000000"/>
        </w:rPr>
        <w:t xml:space="preserve"> perpetuate these conceptions by assuming that university partners are more knowledgeable than themselves. Thus, they tend to rely on academics for solving community</w:t>
      </w:r>
      <w:r w:rsidR="00510019" w:rsidRPr="00727EEE">
        <w:rPr>
          <w:color w:val="000000"/>
        </w:rPr>
        <w:t>‐</w:t>
      </w:r>
      <w:r w:rsidR="00510019" w:rsidRPr="00727EEE">
        <w:rPr>
          <w:rFonts w:ascii="Times New Roman" w:hAnsi="Times New Roman"/>
          <w:color w:val="000000"/>
        </w:rPr>
        <w:t xml:space="preserve">related problems. </w:t>
      </w:r>
    </w:p>
    <w:p w:rsidR="00510019" w:rsidRPr="00727EEE" w:rsidRDefault="00510019" w:rsidP="000B2A17">
      <w:pPr>
        <w:pStyle w:val="CM5"/>
        <w:rPr>
          <w:rFonts w:ascii="Times New Roman" w:hAnsi="Times New Roman"/>
          <w:color w:val="000000"/>
        </w:rPr>
      </w:pPr>
    </w:p>
    <w:p w:rsidR="00510019" w:rsidRPr="00727EEE" w:rsidRDefault="00510019" w:rsidP="000B2A17">
      <w:pPr>
        <w:pStyle w:val="CM5"/>
        <w:rPr>
          <w:rFonts w:ascii="Times New Roman" w:hAnsi="Times New Roman"/>
          <w:color w:val="000000"/>
        </w:rPr>
      </w:pPr>
      <w:r w:rsidRPr="00727EEE">
        <w:rPr>
          <w:rFonts w:ascii="Times New Roman" w:hAnsi="Times New Roman"/>
          <w:color w:val="000000"/>
        </w:rPr>
        <w:t>Th</w:t>
      </w:r>
      <w:r w:rsidR="007C0C87">
        <w:rPr>
          <w:rFonts w:ascii="Times New Roman" w:hAnsi="Times New Roman"/>
          <w:color w:val="000000"/>
        </w:rPr>
        <w:t>is</w:t>
      </w:r>
      <w:r w:rsidRPr="00727EEE">
        <w:rPr>
          <w:rFonts w:ascii="Times New Roman" w:hAnsi="Times New Roman"/>
          <w:color w:val="000000"/>
        </w:rPr>
        <w:t xml:space="preserve"> study’s findings are significant </w:t>
      </w:r>
      <w:r w:rsidR="00494229">
        <w:rPr>
          <w:rFonts w:ascii="Times New Roman" w:hAnsi="Times New Roman"/>
          <w:color w:val="000000"/>
        </w:rPr>
        <w:t>in that</w:t>
      </w:r>
      <w:r w:rsidRPr="00727EEE">
        <w:rPr>
          <w:rFonts w:ascii="Times New Roman" w:hAnsi="Times New Roman"/>
          <w:color w:val="000000"/>
        </w:rPr>
        <w:t xml:space="preserve"> the outcomes provide empirical evidence for and increase</w:t>
      </w:r>
      <w:r w:rsidR="007C0C87">
        <w:rPr>
          <w:rFonts w:ascii="Times New Roman" w:hAnsi="Times New Roman"/>
          <w:color w:val="000000"/>
        </w:rPr>
        <w:t>d</w:t>
      </w:r>
      <w:r w:rsidRPr="00727EEE">
        <w:rPr>
          <w:rFonts w:ascii="Times New Roman" w:hAnsi="Times New Roman"/>
          <w:color w:val="000000"/>
        </w:rPr>
        <w:t xml:space="preserve"> confidence in </w:t>
      </w:r>
      <w:r w:rsidR="007C0C87">
        <w:rPr>
          <w:rFonts w:ascii="Times New Roman" w:hAnsi="Times New Roman"/>
          <w:color w:val="000000"/>
        </w:rPr>
        <w:t xml:space="preserve">the </w:t>
      </w:r>
      <w:r w:rsidRPr="00727EEE">
        <w:rPr>
          <w:rFonts w:ascii="Times New Roman" w:hAnsi="Times New Roman"/>
          <w:color w:val="000000"/>
        </w:rPr>
        <w:t>theoretical arguments that these factors a</w:t>
      </w:r>
      <w:r w:rsidR="007C0C87">
        <w:rPr>
          <w:rFonts w:ascii="Times New Roman" w:hAnsi="Times New Roman"/>
          <w:color w:val="000000"/>
        </w:rPr>
        <w:t>re</w:t>
      </w:r>
      <w:r w:rsidRPr="00727EEE">
        <w:rPr>
          <w:rFonts w:ascii="Times New Roman" w:hAnsi="Times New Roman"/>
          <w:color w:val="000000"/>
        </w:rPr>
        <w:t xml:space="preserve"> impediments to establishing democratic university</w:t>
      </w:r>
      <w:r w:rsidRPr="00727EEE">
        <w:rPr>
          <w:color w:val="000000"/>
        </w:rPr>
        <w:t>‐</w:t>
      </w:r>
      <w:r w:rsidRPr="00727EEE">
        <w:rPr>
          <w:rFonts w:ascii="Times New Roman" w:hAnsi="Times New Roman"/>
          <w:color w:val="000000"/>
        </w:rPr>
        <w:t xml:space="preserve">community partnerships (Saltmarsh et al., 2009). </w:t>
      </w:r>
      <w:r w:rsidR="007C0C87">
        <w:rPr>
          <w:rFonts w:ascii="Times New Roman" w:hAnsi="Times New Roman"/>
          <w:color w:val="000000"/>
        </w:rPr>
        <w:t>Additionally</w:t>
      </w:r>
      <w:r w:rsidRPr="00727EEE">
        <w:rPr>
          <w:rFonts w:ascii="Times New Roman" w:hAnsi="Times New Roman"/>
          <w:color w:val="000000"/>
        </w:rPr>
        <w:t>, the findings pertaining to classism brought attention to how the local culture influences service</w:t>
      </w:r>
      <w:r w:rsidRPr="00727EEE">
        <w:rPr>
          <w:color w:val="000000"/>
        </w:rPr>
        <w:t>‐</w:t>
      </w:r>
      <w:r w:rsidR="00494229">
        <w:rPr>
          <w:rFonts w:ascii="Times New Roman" w:hAnsi="Times New Roman"/>
          <w:color w:val="000000"/>
        </w:rPr>
        <w:t>learning partnerships</w:t>
      </w:r>
      <w:r w:rsidRPr="00727EEE">
        <w:rPr>
          <w:rFonts w:ascii="Times New Roman" w:hAnsi="Times New Roman"/>
          <w:color w:val="000000"/>
        </w:rPr>
        <w:t xml:space="preserve">. In so doing, these findings </w:t>
      </w:r>
      <w:r w:rsidR="007C0C87">
        <w:rPr>
          <w:rFonts w:ascii="Times New Roman" w:hAnsi="Times New Roman"/>
          <w:color w:val="000000"/>
        </w:rPr>
        <w:t xml:space="preserve">can </w:t>
      </w:r>
      <w:r w:rsidRPr="00727EEE">
        <w:rPr>
          <w:rFonts w:ascii="Times New Roman" w:hAnsi="Times New Roman"/>
          <w:color w:val="000000"/>
        </w:rPr>
        <w:t>stimulate future studies to deepen our understanding of how the local context may promote or paralyze reciprocity between the university and the community</w:t>
      </w:r>
      <w:r w:rsidR="001537D9">
        <w:rPr>
          <w:rFonts w:ascii="Times New Roman" w:hAnsi="Times New Roman"/>
          <w:color w:val="000000"/>
        </w:rPr>
        <w:t xml:space="preserve">. </w:t>
      </w:r>
      <w:r w:rsidR="000B2A17">
        <w:rPr>
          <w:rFonts w:ascii="Times New Roman" w:hAnsi="Times New Roman"/>
          <w:color w:val="000000"/>
        </w:rPr>
        <w:t>Ultimately</w:t>
      </w:r>
      <w:r w:rsidRPr="00727EEE">
        <w:rPr>
          <w:rFonts w:ascii="Times New Roman" w:hAnsi="Times New Roman"/>
          <w:color w:val="000000"/>
        </w:rPr>
        <w:t>, the study’s outcomes call upon university constituents to find strategies to empower community partn</w:t>
      </w:r>
      <w:r w:rsidR="00494229">
        <w:rPr>
          <w:rFonts w:ascii="Times New Roman" w:hAnsi="Times New Roman"/>
          <w:color w:val="000000"/>
        </w:rPr>
        <w:t>ers to recognize the assets</w:t>
      </w:r>
      <w:r w:rsidRPr="00727EEE">
        <w:rPr>
          <w:rFonts w:ascii="Times New Roman" w:hAnsi="Times New Roman"/>
          <w:color w:val="000000"/>
        </w:rPr>
        <w:t xml:space="preserve"> they bring to </w:t>
      </w:r>
      <w:r w:rsidR="0072403B" w:rsidRPr="00727EEE">
        <w:rPr>
          <w:rFonts w:ascii="Times New Roman" w:hAnsi="Times New Roman"/>
          <w:color w:val="000000"/>
        </w:rPr>
        <w:t>partnerships.</w:t>
      </w:r>
    </w:p>
    <w:p w:rsidR="0072403B" w:rsidRPr="00727EEE" w:rsidRDefault="0072403B" w:rsidP="00727EEE">
      <w:pPr>
        <w:pStyle w:val="Default"/>
        <w:rPr>
          <w:rFonts w:ascii="Times New Roman" w:hAnsi="Times New Roman" w:cs="Times New Roman"/>
        </w:rPr>
      </w:pPr>
    </w:p>
    <w:p w:rsidR="0072403B" w:rsidRPr="000B2A17" w:rsidRDefault="0072403B" w:rsidP="000B2A17">
      <w:pPr>
        <w:rPr>
          <w:b/>
          <w:sz w:val="24"/>
          <w:szCs w:val="24"/>
        </w:rPr>
      </w:pPr>
      <w:proofErr w:type="gramStart"/>
      <w:r w:rsidRPr="00727EEE">
        <w:rPr>
          <w:b/>
          <w:sz w:val="24"/>
          <w:szCs w:val="24"/>
        </w:rPr>
        <w:t>References</w:t>
      </w:r>
      <w:r w:rsidR="000B2A17">
        <w:rPr>
          <w:b/>
          <w:sz w:val="24"/>
          <w:szCs w:val="24"/>
        </w:rPr>
        <w:br/>
      </w:r>
      <w:proofErr w:type="spellStart"/>
      <w:r w:rsidRPr="00727EEE">
        <w:rPr>
          <w:sz w:val="24"/>
          <w:szCs w:val="24"/>
        </w:rPr>
        <w:t>Battistoni</w:t>
      </w:r>
      <w:proofErr w:type="spellEnd"/>
      <w:r w:rsidRPr="00727EEE">
        <w:rPr>
          <w:sz w:val="24"/>
          <w:szCs w:val="24"/>
        </w:rPr>
        <w:t>, R. (2006).</w:t>
      </w:r>
      <w:proofErr w:type="gramEnd"/>
      <w:r w:rsidRPr="00727EEE">
        <w:rPr>
          <w:sz w:val="24"/>
          <w:szCs w:val="24"/>
        </w:rPr>
        <w:t xml:space="preserve"> Civic engagement: A broad perspective. In K. </w:t>
      </w:r>
      <w:proofErr w:type="spellStart"/>
      <w:r w:rsidRPr="00727EEE">
        <w:rPr>
          <w:sz w:val="24"/>
          <w:szCs w:val="24"/>
        </w:rPr>
        <w:t>Kecskes</w:t>
      </w:r>
      <w:proofErr w:type="spellEnd"/>
      <w:r w:rsidRPr="00727EEE">
        <w:rPr>
          <w:sz w:val="24"/>
          <w:szCs w:val="24"/>
        </w:rPr>
        <w:t xml:space="preserve"> (Ed.), </w:t>
      </w:r>
      <w:r w:rsidRPr="00727EEE">
        <w:rPr>
          <w:i/>
          <w:sz w:val="24"/>
          <w:szCs w:val="24"/>
        </w:rPr>
        <w:t xml:space="preserve">Engaging departments: </w:t>
      </w:r>
      <w:r w:rsidRPr="00727EEE">
        <w:rPr>
          <w:i/>
          <w:iCs/>
          <w:sz w:val="24"/>
          <w:szCs w:val="24"/>
        </w:rPr>
        <w:t>Moving faculty culture from private to public and from individual to collective focus for the common good</w:t>
      </w:r>
      <w:r w:rsidRPr="00727EEE">
        <w:rPr>
          <w:sz w:val="24"/>
          <w:szCs w:val="24"/>
        </w:rPr>
        <w:t xml:space="preserve"> (pp. 11-26). Bolton, MA: Anker Publishing Company, Inc. </w:t>
      </w:r>
    </w:p>
    <w:p w:rsidR="000B2A17" w:rsidRDefault="000B2A17" w:rsidP="000B2A17">
      <w:pPr>
        <w:rPr>
          <w:bCs/>
          <w:sz w:val="24"/>
          <w:szCs w:val="24"/>
        </w:rPr>
      </w:pPr>
    </w:p>
    <w:p w:rsidR="0072403B" w:rsidRPr="00727EEE" w:rsidRDefault="0072403B" w:rsidP="000B2A17">
      <w:pPr>
        <w:rPr>
          <w:bCs/>
          <w:i/>
          <w:sz w:val="24"/>
          <w:szCs w:val="24"/>
        </w:rPr>
      </w:pPr>
      <w:proofErr w:type="spellStart"/>
      <w:r w:rsidRPr="00727EEE">
        <w:rPr>
          <w:bCs/>
          <w:sz w:val="24"/>
          <w:szCs w:val="24"/>
        </w:rPr>
        <w:t>Charmaz</w:t>
      </w:r>
      <w:proofErr w:type="spellEnd"/>
      <w:r w:rsidRPr="00727EEE">
        <w:rPr>
          <w:bCs/>
          <w:sz w:val="24"/>
          <w:szCs w:val="24"/>
        </w:rPr>
        <w:t xml:space="preserve">, K. (2006). </w:t>
      </w:r>
      <w:r w:rsidRPr="00727EEE">
        <w:rPr>
          <w:bCs/>
          <w:i/>
          <w:sz w:val="24"/>
          <w:szCs w:val="24"/>
        </w:rPr>
        <w:t xml:space="preserve">Constructing grounded theory: A practical guide through qualitative </w:t>
      </w:r>
    </w:p>
    <w:p w:rsidR="0072403B" w:rsidRPr="00727EEE" w:rsidRDefault="0072403B" w:rsidP="000B2A17">
      <w:pPr>
        <w:rPr>
          <w:bCs/>
          <w:sz w:val="24"/>
          <w:szCs w:val="24"/>
        </w:rPr>
      </w:pPr>
      <w:proofErr w:type="gramStart"/>
      <w:r w:rsidRPr="00727EEE">
        <w:rPr>
          <w:bCs/>
          <w:i/>
          <w:sz w:val="24"/>
          <w:szCs w:val="24"/>
        </w:rPr>
        <w:t>analysis</w:t>
      </w:r>
      <w:proofErr w:type="gramEnd"/>
      <w:r w:rsidRPr="00727EEE">
        <w:rPr>
          <w:bCs/>
          <w:i/>
          <w:sz w:val="24"/>
          <w:szCs w:val="24"/>
        </w:rPr>
        <w:t xml:space="preserve">. </w:t>
      </w:r>
      <w:r w:rsidRPr="00727EEE">
        <w:rPr>
          <w:bCs/>
          <w:sz w:val="24"/>
          <w:szCs w:val="24"/>
        </w:rPr>
        <w:t>Thousand Oaks, CA: Sage.</w:t>
      </w:r>
    </w:p>
    <w:p w:rsidR="000B2A17" w:rsidRDefault="000B2A17" w:rsidP="000B2A17">
      <w:pPr>
        <w:rPr>
          <w:sz w:val="24"/>
          <w:szCs w:val="24"/>
        </w:rPr>
      </w:pPr>
    </w:p>
    <w:p w:rsidR="0072403B" w:rsidRPr="00727EEE" w:rsidRDefault="0072403B" w:rsidP="000B2A17">
      <w:pPr>
        <w:rPr>
          <w:sz w:val="24"/>
          <w:szCs w:val="24"/>
        </w:rPr>
      </w:pPr>
      <w:r w:rsidRPr="00727EEE">
        <w:rPr>
          <w:sz w:val="24"/>
          <w:szCs w:val="24"/>
        </w:rPr>
        <w:t xml:space="preserve">Creswell, J. W. (1994).  </w:t>
      </w:r>
      <w:r w:rsidRPr="00727EEE">
        <w:rPr>
          <w:i/>
          <w:sz w:val="24"/>
          <w:szCs w:val="24"/>
        </w:rPr>
        <w:t xml:space="preserve">Research design: Qualitative and quantitative approaches. </w:t>
      </w:r>
      <w:r w:rsidRPr="00727EEE">
        <w:rPr>
          <w:sz w:val="24"/>
          <w:szCs w:val="24"/>
        </w:rPr>
        <w:t xml:space="preserve">Thousand </w:t>
      </w:r>
    </w:p>
    <w:p w:rsidR="0072403B" w:rsidRPr="00727EEE" w:rsidRDefault="0072403B" w:rsidP="000B2A17">
      <w:pPr>
        <w:rPr>
          <w:sz w:val="24"/>
          <w:szCs w:val="24"/>
        </w:rPr>
      </w:pPr>
      <w:r w:rsidRPr="00727EEE">
        <w:rPr>
          <w:sz w:val="24"/>
          <w:szCs w:val="24"/>
        </w:rPr>
        <w:t>Oaks, CA: Sage.</w:t>
      </w:r>
    </w:p>
    <w:p w:rsidR="000B2A17" w:rsidRDefault="000B2A17" w:rsidP="000B2A17">
      <w:pPr>
        <w:rPr>
          <w:sz w:val="24"/>
          <w:szCs w:val="24"/>
        </w:rPr>
      </w:pPr>
    </w:p>
    <w:p w:rsidR="0072403B" w:rsidRPr="00727EEE" w:rsidRDefault="0072403B" w:rsidP="000B2A17">
      <w:pPr>
        <w:rPr>
          <w:sz w:val="24"/>
          <w:szCs w:val="24"/>
        </w:rPr>
      </w:pPr>
      <w:proofErr w:type="spellStart"/>
      <w:r w:rsidRPr="00727EEE">
        <w:rPr>
          <w:sz w:val="24"/>
          <w:szCs w:val="24"/>
        </w:rPr>
        <w:t>Enos</w:t>
      </w:r>
      <w:proofErr w:type="spellEnd"/>
      <w:r w:rsidRPr="00727EEE">
        <w:rPr>
          <w:sz w:val="24"/>
          <w:szCs w:val="24"/>
        </w:rPr>
        <w:t xml:space="preserve">, S., &amp; Morton, K. (2003). Developing a theory and practice of campus-community </w:t>
      </w:r>
    </w:p>
    <w:p w:rsidR="0072403B" w:rsidRPr="00727EEE" w:rsidRDefault="0072403B" w:rsidP="000B2A17">
      <w:pPr>
        <w:rPr>
          <w:i/>
          <w:iCs/>
          <w:sz w:val="24"/>
          <w:szCs w:val="24"/>
        </w:rPr>
      </w:pPr>
      <w:proofErr w:type="gramStart"/>
      <w:r w:rsidRPr="00727EEE">
        <w:rPr>
          <w:sz w:val="24"/>
          <w:szCs w:val="24"/>
        </w:rPr>
        <w:t>partnerships</w:t>
      </w:r>
      <w:proofErr w:type="gramEnd"/>
      <w:r w:rsidRPr="00727EEE">
        <w:rPr>
          <w:sz w:val="24"/>
          <w:szCs w:val="24"/>
        </w:rPr>
        <w:t xml:space="preserve">. In B. Jacoby &amp; Associates (Eds.), </w:t>
      </w:r>
      <w:r w:rsidRPr="00727EEE">
        <w:rPr>
          <w:i/>
          <w:iCs/>
          <w:sz w:val="24"/>
          <w:szCs w:val="24"/>
        </w:rPr>
        <w:t>Building partnerships for service-</w:t>
      </w:r>
    </w:p>
    <w:p w:rsidR="0072403B" w:rsidRPr="00727EEE" w:rsidRDefault="0072403B" w:rsidP="000B2A17">
      <w:pPr>
        <w:rPr>
          <w:sz w:val="24"/>
          <w:szCs w:val="24"/>
        </w:rPr>
      </w:pPr>
      <w:proofErr w:type="gramStart"/>
      <w:r w:rsidRPr="00727EEE">
        <w:rPr>
          <w:i/>
          <w:iCs/>
          <w:sz w:val="24"/>
          <w:szCs w:val="24"/>
        </w:rPr>
        <w:t>learning</w:t>
      </w:r>
      <w:proofErr w:type="gramEnd"/>
      <w:r w:rsidRPr="00727EEE">
        <w:rPr>
          <w:sz w:val="24"/>
          <w:szCs w:val="24"/>
        </w:rPr>
        <w:t xml:space="preserve"> (pp. 20-41). San Francisco, CA: </w:t>
      </w:r>
      <w:proofErr w:type="spellStart"/>
      <w:r w:rsidRPr="00727EEE">
        <w:rPr>
          <w:sz w:val="24"/>
          <w:szCs w:val="24"/>
        </w:rPr>
        <w:t>Jossey</w:t>
      </w:r>
      <w:proofErr w:type="spellEnd"/>
      <w:r w:rsidRPr="00727EEE">
        <w:rPr>
          <w:sz w:val="24"/>
          <w:szCs w:val="24"/>
        </w:rPr>
        <w:t>-Bass.</w:t>
      </w:r>
    </w:p>
    <w:p w:rsidR="000B2A17" w:rsidRDefault="000B2A17" w:rsidP="000B2A17">
      <w:pPr>
        <w:rPr>
          <w:sz w:val="24"/>
          <w:szCs w:val="24"/>
        </w:rPr>
      </w:pPr>
    </w:p>
    <w:p w:rsidR="0072403B" w:rsidRPr="00727EEE" w:rsidRDefault="0072403B" w:rsidP="000B2A17">
      <w:pPr>
        <w:rPr>
          <w:sz w:val="24"/>
          <w:szCs w:val="24"/>
        </w:rPr>
      </w:pPr>
      <w:proofErr w:type="gramStart"/>
      <w:r w:rsidRPr="00727EEE">
        <w:rPr>
          <w:sz w:val="24"/>
          <w:szCs w:val="24"/>
        </w:rPr>
        <w:t>Giles, D. E. (2010).</w:t>
      </w:r>
      <w:proofErr w:type="gramEnd"/>
      <w:r w:rsidRPr="00727EEE">
        <w:rPr>
          <w:sz w:val="24"/>
          <w:szCs w:val="24"/>
        </w:rPr>
        <w:t xml:space="preserve"> Journey to service-learning research: Agendas, accomplishments, and aspirations. In J. </w:t>
      </w:r>
      <w:proofErr w:type="spellStart"/>
      <w:r w:rsidRPr="00727EEE">
        <w:rPr>
          <w:sz w:val="24"/>
          <w:szCs w:val="24"/>
        </w:rPr>
        <w:t>Keshen</w:t>
      </w:r>
      <w:proofErr w:type="spellEnd"/>
      <w:r w:rsidRPr="00727EEE">
        <w:rPr>
          <w:sz w:val="24"/>
          <w:szCs w:val="24"/>
        </w:rPr>
        <w:t xml:space="preserve">, B. Holland, &amp; B. </w:t>
      </w:r>
      <w:proofErr w:type="spellStart"/>
      <w:r w:rsidRPr="00727EEE">
        <w:rPr>
          <w:sz w:val="24"/>
          <w:szCs w:val="24"/>
        </w:rPr>
        <w:t>Moely</w:t>
      </w:r>
      <w:proofErr w:type="spellEnd"/>
      <w:r w:rsidRPr="00727EEE">
        <w:rPr>
          <w:sz w:val="24"/>
          <w:szCs w:val="24"/>
        </w:rPr>
        <w:t xml:space="preserve"> (Eds.), </w:t>
      </w:r>
      <w:r w:rsidRPr="00727EEE">
        <w:rPr>
          <w:i/>
          <w:iCs/>
          <w:sz w:val="24"/>
          <w:szCs w:val="24"/>
        </w:rPr>
        <w:t>Research for what</w:t>
      </w:r>
      <w:proofErr w:type="gramStart"/>
      <w:r w:rsidRPr="00727EEE">
        <w:rPr>
          <w:i/>
          <w:iCs/>
          <w:sz w:val="24"/>
          <w:szCs w:val="24"/>
        </w:rPr>
        <w:t>?:</w:t>
      </w:r>
      <w:proofErr w:type="gramEnd"/>
      <w:r w:rsidRPr="00727EEE">
        <w:rPr>
          <w:i/>
          <w:iCs/>
          <w:sz w:val="24"/>
          <w:szCs w:val="24"/>
        </w:rPr>
        <w:t xml:space="preserve"> Making engaged scholarship matter</w:t>
      </w:r>
      <w:r w:rsidRPr="00727EEE">
        <w:rPr>
          <w:sz w:val="24"/>
          <w:szCs w:val="24"/>
        </w:rPr>
        <w:t xml:space="preserve"> (pp. 203-221). Charlotte, NC: Information Age Publishing. </w:t>
      </w:r>
    </w:p>
    <w:p w:rsidR="000B2A17" w:rsidRDefault="000B2A17" w:rsidP="000B2A17">
      <w:pPr>
        <w:rPr>
          <w:sz w:val="24"/>
          <w:szCs w:val="24"/>
        </w:rPr>
      </w:pPr>
    </w:p>
    <w:p w:rsidR="0072403B" w:rsidRPr="00727EEE" w:rsidRDefault="0072403B" w:rsidP="000B2A17">
      <w:pPr>
        <w:rPr>
          <w:sz w:val="24"/>
          <w:szCs w:val="24"/>
        </w:rPr>
      </w:pPr>
      <w:r w:rsidRPr="00727EEE">
        <w:rPr>
          <w:sz w:val="24"/>
          <w:szCs w:val="24"/>
        </w:rPr>
        <w:t xml:space="preserve">Jacoby, B. (2003). </w:t>
      </w:r>
      <w:proofErr w:type="gramStart"/>
      <w:r w:rsidRPr="00727EEE">
        <w:rPr>
          <w:sz w:val="24"/>
          <w:szCs w:val="24"/>
        </w:rPr>
        <w:t>Building service-learning partnerships for the future.</w:t>
      </w:r>
      <w:proofErr w:type="gramEnd"/>
      <w:r w:rsidRPr="00727EEE">
        <w:rPr>
          <w:sz w:val="24"/>
          <w:szCs w:val="24"/>
        </w:rPr>
        <w:t xml:space="preserve"> In B. Jacoby &amp; Associates (Eds.),</w:t>
      </w:r>
      <w:r w:rsidRPr="00727EEE">
        <w:rPr>
          <w:i/>
          <w:sz w:val="24"/>
          <w:szCs w:val="24"/>
        </w:rPr>
        <w:t xml:space="preserve"> Building partnerships for service-learning </w:t>
      </w:r>
      <w:r w:rsidRPr="00727EEE">
        <w:rPr>
          <w:sz w:val="24"/>
          <w:szCs w:val="24"/>
        </w:rPr>
        <w:t xml:space="preserve">(pp. 314-337). San Francisco, CA: </w:t>
      </w:r>
      <w:proofErr w:type="spellStart"/>
      <w:r w:rsidRPr="00727EEE">
        <w:rPr>
          <w:sz w:val="24"/>
          <w:szCs w:val="24"/>
        </w:rPr>
        <w:t>Jossey</w:t>
      </w:r>
      <w:proofErr w:type="spellEnd"/>
      <w:r w:rsidRPr="00727EEE">
        <w:rPr>
          <w:sz w:val="24"/>
          <w:szCs w:val="24"/>
        </w:rPr>
        <w:t>-Bass.</w:t>
      </w:r>
    </w:p>
    <w:p w:rsidR="000B2A17" w:rsidRDefault="000B2A17" w:rsidP="000B2A17">
      <w:pPr>
        <w:rPr>
          <w:sz w:val="24"/>
          <w:szCs w:val="24"/>
        </w:rPr>
      </w:pPr>
    </w:p>
    <w:p w:rsidR="0072403B" w:rsidRPr="00727EEE" w:rsidRDefault="0072403B" w:rsidP="000B2A17">
      <w:pPr>
        <w:rPr>
          <w:sz w:val="24"/>
          <w:szCs w:val="24"/>
        </w:rPr>
      </w:pPr>
      <w:r w:rsidRPr="00727EEE">
        <w:rPr>
          <w:sz w:val="24"/>
          <w:szCs w:val="24"/>
        </w:rPr>
        <w:t xml:space="preserve">Lincoln, Y., &amp; </w:t>
      </w:r>
      <w:proofErr w:type="spellStart"/>
      <w:r w:rsidRPr="00727EEE">
        <w:rPr>
          <w:sz w:val="24"/>
          <w:szCs w:val="24"/>
        </w:rPr>
        <w:t>Guba</w:t>
      </w:r>
      <w:proofErr w:type="spellEnd"/>
      <w:r w:rsidRPr="00727EEE">
        <w:rPr>
          <w:sz w:val="24"/>
          <w:szCs w:val="24"/>
        </w:rPr>
        <w:t xml:space="preserve">, E. (1985). </w:t>
      </w:r>
      <w:r w:rsidRPr="00727EEE">
        <w:rPr>
          <w:i/>
          <w:iCs/>
          <w:sz w:val="24"/>
          <w:szCs w:val="24"/>
        </w:rPr>
        <w:t>Naturalistic inquiry.</w:t>
      </w:r>
      <w:r w:rsidRPr="00727EEE">
        <w:rPr>
          <w:sz w:val="24"/>
          <w:szCs w:val="24"/>
        </w:rPr>
        <w:t xml:space="preserve"> London: Sage Publications. </w:t>
      </w:r>
    </w:p>
    <w:p w:rsidR="000B2A17" w:rsidRDefault="000B2A17" w:rsidP="000B2A17">
      <w:pPr>
        <w:rPr>
          <w:bCs/>
          <w:sz w:val="24"/>
          <w:szCs w:val="24"/>
        </w:rPr>
      </w:pPr>
    </w:p>
    <w:p w:rsidR="0072403B" w:rsidRPr="00727EEE" w:rsidRDefault="0072403B" w:rsidP="000B2A17">
      <w:pPr>
        <w:rPr>
          <w:bCs/>
          <w:sz w:val="24"/>
          <w:szCs w:val="24"/>
        </w:rPr>
      </w:pPr>
      <w:r w:rsidRPr="00727EEE">
        <w:rPr>
          <w:bCs/>
          <w:sz w:val="24"/>
          <w:szCs w:val="24"/>
        </w:rPr>
        <w:t xml:space="preserve">Saldana, J. (2009). </w:t>
      </w:r>
      <w:proofErr w:type="gramStart"/>
      <w:r w:rsidRPr="00727EEE">
        <w:rPr>
          <w:bCs/>
          <w:i/>
          <w:sz w:val="24"/>
          <w:szCs w:val="24"/>
        </w:rPr>
        <w:t>The coding manual for qualitative researchers.</w:t>
      </w:r>
      <w:proofErr w:type="gramEnd"/>
      <w:r w:rsidRPr="00727EEE">
        <w:rPr>
          <w:bCs/>
          <w:sz w:val="24"/>
          <w:szCs w:val="24"/>
        </w:rPr>
        <w:t xml:space="preserve"> Thousand Oaks, CA: Sage.</w:t>
      </w:r>
    </w:p>
    <w:p w:rsidR="000B2A17" w:rsidRDefault="000B2A17" w:rsidP="000B2A17">
      <w:pPr>
        <w:rPr>
          <w:sz w:val="24"/>
          <w:szCs w:val="24"/>
        </w:rPr>
      </w:pPr>
    </w:p>
    <w:p w:rsidR="0072403B" w:rsidRPr="00727EEE" w:rsidRDefault="0072403B" w:rsidP="000B2A17">
      <w:pPr>
        <w:rPr>
          <w:sz w:val="24"/>
          <w:szCs w:val="24"/>
        </w:rPr>
      </w:pPr>
      <w:proofErr w:type="gramStart"/>
      <w:r w:rsidRPr="00727EEE">
        <w:rPr>
          <w:sz w:val="24"/>
          <w:szCs w:val="24"/>
        </w:rPr>
        <w:t>Saltmarsh, J., Hartley, M., &amp; Cla</w:t>
      </w:r>
      <w:r w:rsidR="00727EEE">
        <w:rPr>
          <w:sz w:val="24"/>
          <w:szCs w:val="24"/>
        </w:rPr>
        <w:t>yton, P. H. (2009).</w:t>
      </w:r>
      <w:proofErr w:type="gramEnd"/>
      <w:r w:rsidR="00727EEE">
        <w:rPr>
          <w:sz w:val="24"/>
          <w:szCs w:val="24"/>
        </w:rPr>
        <w:t xml:space="preserve"> </w:t>
      </w:r>
      <w:proofErr w:type="gramStart"/>
      <w:r w:rsidR="00727EEE" w:rsidRPr="00727EEE">
        <w:rPr>
          <w:i/>
          <w:sz w:val="24"/>
          <w:szCs w:val="24"/>
        </w:rPr>
        <w:t>Democratic engagement white p</w:t>
      </w:r>
      <w:r w:rsidRPr="00727EEE">
        <w:rPr>
          <w:i/>
          <w:sz w:val="24"/>
          <w:szCs w:val="24"/>
        </w:rPr>
        <w:t>aper</w:t>
      </w:r>
      <w:r w:rsidRPr="00727EEE">
        <w:rPr>
          <w:sz w:val="24"/>
          <w:szCs w:val="24"/>
        </w:rPr>
        <w:t>.</w:t>
      </w:r>
      <w:proofErr w:type="gramEnd"/>
      <w:r w:rsidRPr="00727EEE">
        <w:rPr>
          <w:sz w:val="24"/>
          <w:szCs w:val="24"/>
        </w:rPr>
        <w:t xml:space="preserve"> </w:t>
      </w:r>
    </w:p>
    <w:p w:rsidR="0072403B" w:rsidRPr="00727EEE" w:rsidRDefault="0072403B" w:rsidP="000B2A17">
      <w:pPr>
        <w:rPr>
          <w:sz w:val="24"/>
          <w:szCs w:val="24"/>
        </w:rPr>
      </w:pPr>
      <w:r w:rsidRPr="00727EEE">
        <w:rPr>
          <w:sz w:val="24"/>
          <w:szCs w:val="24"/>
        </w:rPr>
        <w:t xml:space="preserve">Boston, MA: New England Resource Center for Higher Education. </w:t>
      </w:r>
    </w:p>
    <w:p w:rsidR="000B2A17" w:rsidRDefault="000B2A17" w:rsidP="000B2A17">
      <w:pPr>
        <w:rPr>
          <w:sz w:val="24"/>
          <w:szCs w:val="24"/>
        </w:rPr>
      </w:pPr>
    </w:p>
    <w:p w:rsidR="0072403B" w:rsidRPr="00727EEE" w:rsidRDefault="0072403B" w:rsidP="000B2A17">
      <w:pPr>
        <w:rPr>
          <w:sz w:val="24"/>
          <w:szCs w:val="24"/>
        </w:rPr>
      </w:pPr>
      <w:proofErr w:type="spellStart"/>
      <w:r w:rsidRPr="00727EEE">
        <w:rPr>
          <w:sz w:val="24"/>
          <w:szCs w:val="24"/>
        </w:rPr>
        <w:t>Teddlie</w:t>
      </w:r>
      <w:proofErr w:type="spellEnd"/>
      <w:r w:rsidRPr="00727EEE">
        <w:rPr>
          <w:sz w:val="24"/>
          <w:szCs w:val="24"/>
        </w:rPr>
        <w:t>, C., &amp; Yu, F. (2008). Different sampling techniques for</w:t>
      </w:r>
      <w:r w:rsidRPr="00727EEE">
        <w:rPr>
          <w:i/>
          <w:iCs/>
          <w:sz w:val="24"/>
          <w:szCs w:val="24"/>
        </w:rPr>
        <w:t xml:space="preserve"> </w:t>
      </w:r>
      <w:r w:rsidRPr="00727EEE">
        <w:rPr>
          <w:sz w:val="24"/>
          <w:szCs w:val="24"/>
        </w:rPr>
        <w:t xml:space="preserve">mixed methods studies In V.L. </w:t>
      </w:r>
      <w:proofErr w:type="spellStart"/>
      <w:r w:rsidRPr="00727EEE">
        <w:rPr>
          <w:sz w:val="24"/>
          <w:szCs w:val="24"/>
        </w:rPr>
        <w:t>Planc</w:t>
      </w:r>
      <w:proofErr w:type="spellEnd"/>
      <w:r w:rsidRPr="00727EEE">
        <w:rPr>
          <w:sz w:val="24"/>
          <w:szCs w:val="24"/>
        </w:rPr>
        <w:t xml:space="preserve"> Clark &amp; J. W. Creswell (Eds.), </w:t>
      </w:r>
      <w:r w:rsidRPr="00727EEE">
        <w:rPr>
          <w:i/>
          <w:iCs/>
          <w:sz w:val="24"/>
          <w:szCs w:val="24"/>
        </w:rPr>
        <w:t>The mixed methods reader</w:t>
      </w:r>
      <w:r w:rsidRPr="00727EEE">
        <w:rPr>
          <w:sz w:val="24"/>
          <w:szCs w:val="24"/>
        </w:rPr>
        <w:t xml:space="preserve"> (pp. 199-228). Thousand Oaks, CA: Sage.</w:t>
      </w:r>
    </w:p>
    <w:sectPr w:rsidR="0072403B" w:rsidRPr="00727EEE" w:rsidSect="00BA7A4E">
      <w:pgSz w:w="12240" w:h="16340"/>
      <w:pgMar w:top="1080" w:right="1080" w:bottom="1080" w:left="1080" w:header="720" w:footer="720" w:gutter="0"/>
      <w:cols w:space="72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embedSystemFonts/>
  <w:bordersDoNotSurroundHeader/>
  <w:bordersDoNotSurroundFooter/>
  <w:proofState w:spelling="clean" w:grammar="clean"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03B"/>
    <w:rsid w:val="000B2A17"/>
    <w:rsid w:val="001537D9"/>
    <w:rsid w:val="00336113"/>
    <w:rsid w:val="00376B54"/>
    <w:rsid w:val="00494229"/>
    <w:rsid w:val="00510019"/>
    <w:rsid w:val="0072403B"/>
    <w:rsid w:val="00727EEE"/>
    <w:rsid w:val="007A4D22"/>
    <w:rsid w:val="007C0C87"/>
    <w:rsid w:val="009303E7"/>
    <w:rsid w:val="00951330"/>
    <w:rsid w:val="00BA7A4E"/>
    <w:rsid w:val="00CF64B4"/>
    <w:rsid w:val="00E21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Pr>
      <w:rFonts w:cs="Times New Roman"/>
      <w:color w:val="auto"/>
    </w:rPr>
  </w:style>
  <w:style w:type="paragraph" w:customStyle="1" w:styleId="CM5">
    <w:name w:val="CM5"/>
    <w:basedOn w:val="Default"/>
    <w:next w:val="Default"/>
    <w:uiPriority w:val="99"/>
    <w:rPr>
      <w:rFonts w:cs="Times New Roman"/>
      <w:color w:val="auto"/>
    </w:rPr>
  </w:style>
  <w:style w:type="paragraph" w:customStyle="1" w:styleId="CM2">
    <w:name w:val="CM2"/>
    <w:basedOn w:val="Default"/>
    <w:next w:val="Default"/>
    <w:uiPriority w:val="99"/>
    <w:pPr>
      <w:spacing w:line="271" w:lineRule="atLeast"/>
    </w:pPr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pPr>
      <w:spacing w:line="271" w:lineRule="atLeast"/>
    </w:pPr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pPr>
      <w:spacing w:line="271" w:lineRule="atLeast"/>
    </w:pPr>
    <w:rPr>
      <w:rFonts w:cs="Times New Roman"/>
      <w:color w:val="aut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0C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0C87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Pr>
      <w:rFonts w:cs="Times New Roman"/>
      <w:color w:val="auto"/>
    </w:rPr>
  </w:style>
  <w:style w:type="paragraph" w:customStyle="1" w:styleId="CM5">
    <w:name w:val="CM5"/>
    <w:basedOn w:val="Default"/>
    <w:next w:val="Default"/>
    <w:uiPriority w:val="99"/>
    <w:rPr>
      <w:rFonts w:cs="Times New Roman"/>
      <w:color w:val="auto"/>
    </w:rPr>
  </w:style>
  <w:style w:type="paragraph" w:customStyle="1" w:styleId="CM2">
    <w:name w:val="CM2"/>
    <w:basedOn w:val="Default"/>
    <w:next w:val="Default"/>
    <w:uiPriority w:val="99"/>
    <w:pPr>
      <w:spacing w:line="271" w:lineRule="atLeast"/>
    </w:pPr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pPr>
      <w:spacing w:line="271" w:lineRule="atLeast"/>
    </w:pPr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pPr>
      <w:spacing w:line="271" w:lineRule="atLeast"/>
    </w:pPr>
    <w:rPr>
      <w:rFonts w:cs="Times New Roman"/>
      <w:color w:val="aut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0C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0C87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699</Words>
  <Characters>3987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- 6.29.12 Abstract_Report.docx</vt:lpstr>
    </vt:vector>
  </TitlesOfParts>
  <Company/>
  <LinksUpToDate>false</LinksUpToDate>
  <CharactersWithSpaces>4677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- 6.29.12 Abstract_Report.docx</dc:title>
  <dc:creator>Don Luparello Jr</dc:creator>
  <cp:lastModifiedBy>Julia Rodemeier</cp:lastModifiedBy>
  <cp:revision>2</cp:revision>
  <dcterms:created xsi:type="dcterms:W3CDTF">2012-08-09T01:29:00Z</dcterms:created>
  <dcterms:modified xsi:type="dcterms:W3CDTF">2012-08-09T01:29:00Z</dcterms:modified>
</cp:coreProperties>
</file>